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B82B" w14:textId="77777777" w:rsidR="00E90620" w:rsidRDefault="00E90620" w:rsidP="00F730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sz w:val="40"/>
          <w:szCs w:val="40"/>
        </w:rPr>
      </w:pPr>
      <w:r w:rsidRPr="00E90620">
        <w:rPr>
          <w:rFonts w:ascii="Arial" w:eastAsia="TimesNewRomanPS-BoldMT" w:hAnsi="Arial" w:cs="Arial"/>
          <w:b/>
          <w:bCs/>
          <w:noProof/>
          <w:sz w:val="40"/>
          <w:szCs w:val="40"/>
        </w:rPr>
        <w:drawing>
          <wp:inline distT="0" distB="0" distL="0" distR="0" wp14:anchorId="7AD86592" wp14:editId="5ABD7CF6">
            <wp:extent cx="1143000" cy="1038225"/>
            <wp:effectExtent l="19050" t="0" r="0" b="0"/>
            <wp:docPr id="1" name="obrázek 1" descr="http://www.oshpz.cz/Bez%20n%C3%A1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hpz.cz/Bez%20n%C3%A1zvu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A2855" w14:textId="77777777" w:rsidR="00E90620" w:rsidRPr="00432167" w:rsidRDefault="00E90620" w:rsidP="00F730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sz w:val="18"/>
          <w:szCs w:val="18"/>
        </w:rPr>
      </w:pPr>
    </w:p>
    <w:p w14:paraId="09AA0F23" w14:textId="77777777" w:rsidR="00F730C2" w:rsidRPr="00E90620" w:rsidRDefault="00F730C2" w:rsidP="00F730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sz w:val="40"/>
          <w:szCs w:val="40"/>
          <w:u w:val="single"/>
        </w:rPr>
      </w:pPr>
      <w:r w:rsidRPr="00E90620">
        <w:rPr>
          <w:rFonts w:ascii="Arial" w:eastAsia="TimesNewRomanPS-BoldMT" w:hAnsi="Arial" w:cs="Arial"/>
          <w:b/>
          <w:bCs/>
          <w:sz w:val="40"/>
          <w:szCs w:val="40"/>
          <w:u w:val="single"/>
        </w:rPr>
        <w:t>Pl</w:t>
      </w:r>
      <w:r w:rsidR="00FE3938" w:rsidRPr="00E90620">
        <w:rPr>
          <w:rFonts w:ascii="Arial" w:eastAsia="TimesNewRomanPS-BoldMT" w:hAnsi="Arial" w:cs="Arial"/>
          <w:b/>
          <w:bCs/>
          <w:sz w:val="40"/>
          <w:szCs w:val="40"/>
          <w:u w:val="single"/>
        </w:rPr>
        <w:t>á</w:t>
      </w:r>
      <w:r w:rsidRPr="00E90620">
        <w:rPr>
          <w:rFonts w:ascii="Arial" w:eastAsia="TimesNewRomanPS-BoldMT" w:hAnsi="Arial" w:cs="Arial"/>
          <w:b/>
          <w:bCs/>
          <w:sz w:val="40"/>
          <w:szCs w:val="40"/>
          <w:u w:val="single"/>
        </w:rPr>
        <w:t>n pr</w:t>
      </w:r>
      <w:r w:rsidR="00FE3938" w:rsidRPr="00E90620">
        <w:rPr>
          <w:rFonts w:ascii="Arial" w:eastAsia="TimesNewRomanPS-BoldMT" w:hAnsi="Arial" w:cs="Arial"/>
          <w:b/>
          <w:bCs/>
          <w:sz w:val="40"/>
          <w:szCs w:val="40"/>
          <w:u w:val="single"/>
        </w:rPr>
        <w:t>á</w:t>
      </w:r>
      <w:r w:rsidRPr="00E90620">
        <w:rPr>
          <w:rFonts w:ascii="Arial" w:eastAsia="TimesNewRomanPS-BoldMT" w:hAnsi="Arial" w:cs="Arial"/>
          <w:b/>
          <w:bCs/>
          <w:sz w:val="40"/>
          <w:szCs w:val="40"/>
          <w:u w:val="single"/>
        </w:rPr>
        <w:t>ce na rok 20</w:t>
      </w:r>
      <w:r w:rsidR="00544919">
        <w:rPr>
          <w:rFonts w:ascii="Arial" w:eastAsia="TimesNewRomanPS-BoldMT" w:hAnsi="Arial" w:cs="Arial"/>
          <w:b/>
          <w:bCs/>
          <w:sz w:val="40"/>
          <w:szCs w:val="40"/>
          <w:u w:val="single"/>
        </w:rPr>
        <w:t>2</w:t>
      </w:r>
      <w:r w:rsidR="00237CD5">
        <w:rPr>
          <w:rFonts w:ascii="Arial" w:eastAsia="TimesNewRomanPS-BoldMT" w:hAnsi="Arial" w:cs="Arial"/>
          <w:b/>
          <w:bCs/>
          <w:sz w:val="40"/>
          <w:szCs w:val="40"/>
          <w:u w:val="single"/>
        </w:rPr>
        <w:t>4</w:t>
      </w:r>
    </w:p>
    <w:p w14:paraId="5C13656A" w14:textId="77777777" w:rsidR="00F730C2" w:rsidRPr="00F730C2" w:rsidRDefault="00F730C2" w:rsidP="00F730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-BoldMT" w:hAnsi="Arial" w:cs="Arial"/>
          <w:b/>
          <w:bCs/>
          <w:color w:val="FF0000"/>
          <w:sz w:val="40"/>
          <w:szCs w:val="40"/>
        </w:rPr>
      </w:pPr>
    </w:p>
    <w:p w14:paraId="6F267A15" w14:textId="77777777" w:rsidR="00F730C2" w:rsidRPr="00FE3938" w:rsidRDefault="00F730C2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St</w:t>
      </w:r>
      <w:r w:rsidR="00E90620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le body jedn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n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:</w:t>
      </w:r>
    </w:p>
    <w:p w14:paraId="32266B05" w14:textId="77777777" w:rsidR="00F730C2" w:rsidRPr="00FE3938" w:rsidRDefault="00F730C2" w:rsidP="00F73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Zah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jen</w:t>
      </w:r>
      <w:r w:rsidR="00E90620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, volba zapisovatele a kontrola z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pisu z minul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é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ho zased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n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</w:p>
    <w:p w14:paraId="06E46E2B" w14:textId="77777777" w:rsidR="00F730C2" w:rsidRPr="00FE3938" w:rsidRDefault="00F730C2" w:rsidP="00F73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Stanoven</w:t>
      </w:r>
      <w:r w:rsidR="00E90620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d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lč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ch kontroln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ch akc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</w:p>
    <w:p w14:paraId="046328D0" w14:textId="677509C4" w:rsidR="00F730C2" w:rsidRDefault="00F730C2" w:rsidP="00F730C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Disku</w:t>
      </w:r>
      <w:r w:rsidR="00CD465F">
        <w:rPr>
          <w:rFonts w:ascii="Arial" w:eastAsia="TimesNewRomanPS-BoldMT" w:hAnsi="Arial" w:cs="Arial"/>
          <w:bCs/>
          <w:color w:val="000000"/>
          <w:sz w:val="24"/>
          <w:szCs w:val="24"/>
        </w:rPr>
        <w:t>z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e</w:t>
      </w:r>
    </w:p>
    <w:p w14:paraId="6B216816" w14:textId="77777777" w:rsidR="00E90620" w:rsidRPr="00FE3938" w:rsidRDefault="00E90620" w:rsidP="00E9062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</w:p>
    <w:p w14:paraId="7BA2FA7E" w14:textId="77777777" w:rsidR="00F730C2" w:rsidRDefault="00237CD5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>
        <w:rPr>
          <w:rFonts w:ascii="Arial" w:eastAsia="TimesNewRomanPS-BoldMT" w:hAnsi="Arial" w:cs="Arial"/>
          <w:bCs/>
          <w:color w:val="000000"/>
          <w:sz w:val="24"/>
          <w:szCs w:val="24"/>
        </w:rPr>
        <w:t>Březen</w:t>
      </w:r>
    </w:p>
    <w:p w14:paraId="3670A032" w14:textId="77777777" w:rsidR="00E90620" w:rsidRDefault="00E90620" w:rsidP="00E9062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>
        <w:rPr>
          <w:rFonts w:ascii="Arial" w:eastAsia="TimesNewRomanPS-BoldMT" w:hAnsi="Arial" w:cs="Arial"/>
          <w:bCs/>
          <w:color w:val="000000"/>
          <w:sz w:val="24"/>
          <w:szCs w:val="24"/>
        </w:rPr>
        <w:t>Kontrola evidence členské základny</w:t>
      </w:r>
    </w:p>
    <w:p w14:paraId="19BE71B6" w14:textId="77777777" w:rsidR="00E90620" w:rsidRDefault="00E90620" w:rsidP="00E9062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Kontrola </w:t>
      </w:r>
      <w:r w:rsidR="007F44C1">
        <w:rPr>
          <w:rFonts w:ascii="Arial" w:eastAsia="TimesNewRomanPS-BoldMT" w:hAnsi="Arial" w:cs="Arial"/>
          <w:bCs/>
          <w:color w:val="000000"/>
          <w:sz w:val="24"/>
          <w:szCs w:val="24"/>
        </w:rPr>
        <w:t>dotací za rok 202</w:t>
      </w:r>
      <w:r w:rsidR="00237CD5">
        <w:rPr>
          <w:rFonts w:ascii="Arial" w:eastAsia="TimesNewRomanPS-BoldMT" w:hAnsi="Arial" w:cs="Arial"/>
          <w:bCs/>
          <w:color w:val="000000"/>
          <w:sz w:val="24"/>
          <w:szCs w:val="24"/>
        </w:rPr>
        <w:t>3</w:t>
      </w:r>
    </w:p>
    <w:p w14:paraId="3A1D1AE6" w14:textId="77777777" w:rsidR="00E90620" w:rsidRDefault="00E90620" w:rsidP="00E9062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Kontrola 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ú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č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etní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agendy</w:t>
      </w:r>
      <w:r w:rsidR="007F44C1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4/4 roku 202</w:t>
      </w:r>
      <w:r w:rsidR="00237CD5">
        <w:rPr>
          <w:rFonts w:ascii="Arial" w:eastAsia="TimesNewRomanPS-BoldMT" w:hAnsi="Arial" w:cs="Arial"/>
          <w:bCs/>
          <w:color w:val="000000"/>
          <w:sz w:val="24"/>
          <w:szCs w:val="24"/>
        </w:rPr>
        <w:t>3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a administrativy OSH</w:t>
      </w:r>
    </w:p>
    <w:p w14:paraId="099DC3D9" w14:textId="77777777" w:rsidR="007F44C1" w:rsidRDefault="007F44C1" w:rsidP="007F44C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Čerp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n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í rozpočtu za rok 202</w:t>
      </w:r>
      <w:r w:rsidR="00237CD5">
        <w:rPr>
          <w:rFonts w:ascii="Arial" w:eastAsia="TimesNewRomanPS-BoldMT" w:hAnsi="Arial" w:cs="Arial"/>
          <w:bCs/>
          <w:color w:val="000000"/>
          <w:sz w:val="24"/>
          <w:szCs w:val="24"/>
        </w:rPr>
        <w:t>3</w:t>
      </w:r>
    </w:p>
    <w:p w14:paraId="046F0A97" w14:textId="77777777" w:rsidR="007F44C1" w:rsidRPr="00F52E16" w:rsidRDefault="007F44C1" w:rsidP="00F52E16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NewRomanPS-BoldMT" w:hAnsi="Arial" w:cs="Arial"/>
          <w:bCs/>
          <w:color w:val="000000"/>
          <w:sz w:val="24"/>
          <w:szCs w:val="24"/>
        </w:rPr>
      </w:pPr>
    </w:p>
    <w:p w14:paraId="32F60385" w14:textId="77777777" w:rsidR="00E90620" w:rsidRDefault="00E90620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</w:p>
    <w:p w14:paraId="22F1D5CB" w14:textId="77777777" w:rsidR="007F44C1" w:rsidRDefault="007F44C1" w:rsidP="007F44C1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>
        <w:rPr>
          <w:rFonts w:ascii="Arial" w:eastAsia="TimesNewRomanPS-BoldMT" w:hAnsi="Arial" w:cs="Arial"/>
          <w:bCs/>
          <w:color w:val="000000"/>
          <w:sz w:val="24"/>
          <w:szCs w:val="24"/>
        </w:rPr>
        <w:t>Květen</w:t>
      </w:r>
    </w:p>
    <w:p w14:paraId="32A3835F" w14:textId="77777777" w:rsidR="00560334" w:rsidRDefault="00560334" w:rsidP="00F730C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C75BF6">
        <w:rPr>
          <w:rFonts w:ascii="Arial" w:hAnsi="Arial" w:cs="Arial"/>
          <w:sz w:val="24"/>
          <w:szCs w:val="24"/>
        </w:rPr>
        <w:t>Kontrola inventarizace majetku</w:t>
      </w:r>
    </w:p>
    <w:p w14:paraId="45F396F2" w14:textId="77777777" w:rsidR="00432167" w:rsidRPr="007F44C1" w:rsidRDefault="00432167" w:rsidP="007F44C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>
        <w:rPr>
          <w:rFonts w:ascii="Arial" w:eastAsia="TimesNewRomanPS-BoldMT" w:hAnsi="Arial" w:cs="Arial"/>
          <w:bCs/>
          <w:color w:val="000000"/>
          <w:sz w:val="24"/>
          <w:szCs w:val="24"/>
        </w:rPr>
        <w:t>K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ontrola placen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člensk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ý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ch př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spěvků</w:t>
      </w:r>
    </w:p>
    <w:p w14:paraId="2CF2AE09" w14:textId="77777777" w:rsidR="00F730C2" w:rsidRPr="00FE3938" w:rsidRDefault="00F730C2" w:rsidP="00F730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Kontrola z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pisů odborn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ý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ch rad OSH a okrsků</w:t>
      </w:r>
    </w:p>
    <w:p w14:paraId="750B6D3A" w14:textId="77777777" w:rsidR="00F730C2" w:rsidRPr="00FE3938" w:rsidRDefault="00F730C2" w:rsidP="00F730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Kontrola 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ú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četn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agendy a čerp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n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rozpočtu za 1/4 roku 20</w:t>
      </w:r>
      <w:r w:rsidR="00544919">
        <w:rPr>
          <w:rFonts w:ascii="Arial" w:eastAsia="TimesNewRomanPS-BoldMT" w:hAnsi="Arial" w:cs="Arial"/>
          <w:bCs/>
          <w:color w:val="000000"/>
          <w:sz w:val="24"/>
          <w:szCs w:val="24"/>
        </w:rPr>
        <w:t>2</w:t>
      </w:r>
      <w:r w:rsidR="00237CD5">
        <w:rPr>
          <w:rFonts w:ascii="Arial" w:eastAsia="TimesNewRomanPS-BoldMT" w:hAnsi="Arial" w:cs="Arial"/>
          <w:bCs/>
          <w:color w:val="000000"/>
          <w:sz w:val="24"/>
          <w:szCs w:val="24"/>
        </w:rPr>
        <w:t>4</w:t>
      </w:r>
    </w:p>
    <w:p w14:paraId="526A41BB" w14:textId="77777777" w:rsidR="00F730C2" w:rsidRPr="00FE3938" w:rsidRDefault="00F730C2" w:rsidP="00F730C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Kontrola a evidence hasičsk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é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ho zbož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a vyznamen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n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</w:p>
    <w:p w14:paraId="51687FEB" w14:textId="77777777" w:rsidR="00F730C2" w:rsidRPr="00FE3938" w:rsidRDefault="00F730C2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</w:p>
    <w:p w14:paraId="3100442C" w14:textId="77777777" w:rsidR="00F730C2" w:rsidRPr="00FE3938" w:rsidRDefault="007F44C1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>
        <w:rPr>
          <w:rFonts w:ascii="Arial" w:eastAsia="TimesNewRomanPS-BoldMT" w:hAnsi="Arial" w:cs="Arial"/>
          <w:bCs/>
          <w:color w:val="000000"/>
          <w:sz w:val="24"/>
          <w:szCs w:val="24"/>
        </w:rPr>
        <w:t>Září</w:t>
      </w:r>
    </w:p>
    <w:p w14:paraId="724411BD" w14:textId="77777777" w:rsidR="00F730C2" w:rsidRPr="00FE3938" w:rsidRDefault="00F730C2" w:rsidP="00F730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Kontrola činnosti OOR</w:t>
      </w:r>
    </w:p>
    <w:p w14:paraId="386983FC" w14:textId="77777777" w:rsidR="00F730C2" w:rsidRPr="007F44C1" w:rsidRDefault="00F730C2" w:rsidP="00F730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Kontrola plněni a čerp</w:t>
      </w:r>
      <w:r w:rsidR="00332D52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ni rozpočtu za 1. pololet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20</w:t>
      </w:r>
      <w:r w:rsidR="00544919">
        <w:rPr>
          <w:rFonts w:ascii="Arial" w:eastAsia="TimesNewRomanPS-BoldMT" w:hAnsi="Arial" w:cs="Arial"/>
          <w:bCs/>
          <w:color w:val="000000"/>
          <w:sz w:val="24"/>
          <w:szCs w:val="24"/>
        </w:rPr>
        <w:t>2</w:t>
      </w:r>
      <w:r w:rsidR="00237CD5">
        <w:rPr>
          <w:rFonts w:ascii="Arial" w:eastAsia="TimesNewRomanPS-BoldMT" w:hAnsi="Arial" w:cs="Arial"/>
          <w:bCs/>
          <w:color w:val="000000"/>
          <w:sz w:val="24"/>
          <w:szCs w:val="24"/>
        </w:rPr>
        <w:t>4</w:t>
      </w:r>
    </w:p>
    <w:p w14:paraId="42F92BFE" w14:textId="77777777" w:rsidR="00F730C2" w:rsidRDefault="00F730C2" w:rsidP="00F730C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Kontrola 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ú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č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etní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agendy a administrativy OSH</w:t>
      </w:r>
    </w:p>
    <w:p w14:paraId="6C199A1E" w14:textId="77777777" w:rsidR="00F52E16" w:rsidRPr="00F52E16" w:rsidRDefault="00F52E16" w:rsidP="00F52E1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</w:p>
    <w:p w14:paraId="2D3A71DA" w14:textId="77777777" w:rsidR="00F730C2" w:rsidRPr="00FE3938" w:rsidRDefault="009535E2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>
        <w:rPr>
          <w:rFonts w:ascii="Arial" w:eastAsia="TimesNewRomanPS-BoldMT" w:hAnsi="Arial" w:cs="Arial"/>
          <w:bCs/>
          <w:color w:val="000000"/>
          <w:sz w:val="24"/>
          <w:szCs w:val="24"/>
        </w:rPr>
        <w:t>Prosinec</w:t>
      </w:r>
    </w:p>
    <w:p w14:paraId="362E82E6" w14:textId="77777777" w:rsidR="00F730C2" w:rsidRPr="00FE3938" w:rsidRDefault="00FE3938" w:rsidP="00F730C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Projedn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n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pl</w:t>
      </w:r>
      <w:r w:rsidR="006632D7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nu na rok 20</w:t>
      </w:r>
      <w:r w:rsidR="005D7599">
        <w:rPr>
          <w:rFonts w:ascii="Arial" w:eastAsia="TimesNewRomanPS-BoldMT" w:hAnsi="Arial" w:cs="Arial"/>
          <w:bCs/>
          <w:color w:val="000000"/>
          <w:sz w:val="24"/>
          <w:szCs w:val="24"/>
        </w:rPr>
        <w:t>2</w:t>
      </w:r>
      <w:r w:rsidR="00237CD5">
        <w:rPr>
          <w:rFonts w:ascii="Arial" w:eastAsia="TimesNewRomanPS-BoldMT" w:hAnsi="Arial" w:cs="Arial"/>
          <w:bCs/>
          <w:color w:val="000000"/>
          <w:sz w:val="24"/>
          <w:szCs w:val="24"/>
        </w:rPr>
        <w:t>5</w:t>
      </w:r>
    </w:p>
    <w:p w14:paraId="31608F11" w14:textId="77777777" w:rsidR="00FE3938" w:rsidRPr="00FE3938" w:rsidRDefault="00FE3938" w:rsidP="00F730C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Kontrola čerpan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rozpoč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tu za rok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20</w:t>
      </w:r>
      <w:r w:rsidR="00F02106">
        <w:rPr>
          <w:rFonts w:ascii="Arial" w:eastAsia="TimesNewRomanPS-BoldMT" w:hAnsi="Arial" w:cs="Arial"/>
          <w:bCs/>
          <w:color w:val="000000"/>
          <w:sz w:val="24"/>
          <w:szCs w:val="24"/>
        </w:rPr>
        <w:t>2</w:t>
      </w:r>
      <w:r w:rsidR="00237CD5">
        <w:rPr>
          <w:rFonts w:ascii="Arial" w:eastAsia="TimesNewRomanPS-BoldMT" w:hAnsi="Arial" w:cs="Arial"/>
          <w:bCs/>
          <w:color w:val="000000"/>
          <w:sz w:val="24"/>
          <w:szCs w:val="24"/>
        </w:rPr>
        <w:t>4</w:t>
      </w:r>
    </w:p>
    <w:p w14:paraId="605D4D06" w14:textId="77777777" w:rsidR="00FE3938" w:rsidRDefault="00FE3938" w:rsidP="00F730C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Projedn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n</w:t>
      </w:r>
      <w:r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rozpočtu OSH na rok 20</w:t>
      </w:r>
      <w:r w:rsidR="00544919">
        <w:rPr>
          <w:rFonts w:ascii="Arial" w:eastAsia="TimesNewRomanPS-BoldMT" w:hAnsi="Arial" w:cs="Arial"/>
          <w:bCs/>
          <w:color w:val="000000"/>
          <w:sz w:val="24"/>
          <w:szCs w:val="24"/>
        </w:rPr>
        <w:t>2</w:t>
      </w:r>
      <w:r w:rsidR="00237CD5">
        <w:rPr>
          <w:rFonts w:ascii="Arial" w:eastAsia="TimesNewRomanPS-BoldMT" w:hAnsi="Arial" w:cs="Arial"/>
          <w:bCs/>
          <w:color w:val="000000"/>
          <w:sz w:val="24"/>
          <w:szCs w:val="24"/>
        </w:rPr>
        <w:t>4</w:t>
      </w:r>
    </w:p>
    <w:p w14:paraId="7660D4D0" w14:textId="77777777" w:rsidR="009535E2" w:rsidRPr="009535E2" w:rsidRDefault="009535E2" w:rsidP="009535E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>
        <w:rPr>
          <w:rFonts w:ascii="Arial" w:eastAsia="TimesNewRomanPS-BoldMT" w:hAnsi="Arial" w:cs="Arial"/>
          <w:bCs/>
          <w:color w:val="000000"/>
          <w:sz w:val="24"/>
          <w:szCs w:val="24"/>
        </w:rPr>
        <w:t>Jmenování inventarizační komise na rok 2024</w:t>
      </w:r>
    </w:p>
    <w:p w14:paraId="7BD13681" w14:textId="77777777" w:rsidR="00FE3938" w:rsidRPr="00FE3938" w:rsidRDefault="00FE3938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</w:p>
    <w:p w14:paraId="2424F850" w14:textId="77777777" w:rsidR="00F730C2" w:rsidRPr="00FE3938" w:rsidRDefault="00F730C2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</w:p>
    <w:p w14:paraId="3956DBDF" w14:textId="77777777" w:rsidR="00F730C2" w:rsidRPr="00FE3938" w:rsidRDefault="00F730C2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Pl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n pr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ce bude dle aktu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ln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í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potřeby doplňov</w:t>
      </w:r>
      <w:r w:rsidR="00FE3938"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n.</w:t>
      </w:r>
    </w:p>
    <w:p w14:paraId="543DC670" w14:textId="77777777" w:rsidR="00F730C2" w:rsidRPr="00FE3938" w:rsidRDefault="00F730C2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</w:p>
    <w:p w14:paraId="60F29B04" w14:textId="36FBC97F" w:rsidR="00F730C2" w:rsidRPr="00FE3938" w:rsidRDefault="00F730C2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Schv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leno dne</w:t>
      </w:r>
      <w:r w:rsidR="009535E2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11.</w:t>
      </w:r>
      <w:r w:rsidR="00CD465F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</w:t>
      </w:r>
      <w:r w:rsidR="009535E2">
        <w:rPr>
          <w:rFonts w:ascii="Arial" w:eastAsia="TimesNewRomanPS-BoldMT" w:hAnsi="Arial" w:cs="Arial"/>
          <w:bCs/>
          <w:color w:val="000000"/>
          <w:sz w:val="24"/>
          <w:szCs w:val="24"/>
        </w:rPr>
        <w:t>12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.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 xml:space="preserve"> 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20</w:t>
      </w:r>
      <w:r w:rsidR="00544919">
        <w:rPr>
          <w:rFonts w:ascii="Arial" w:eastAsia="TimesNewRomanPS-BoldMT" w:hAnsi="Arial" w:cs="Arial"/>
          <w:bCs/>
          <w:color w:val="000000"/>
          <w:sz w:val="24"/>
          <w:szCs w:val="24"/>
        </w:rPr>
        <w:t>2</w:t>
      </w:r>
      <w:r w:rsidR="007F44C1">
        <w:rPr>
          <w:rFonts w:ascii="Arial" w:eastAsia="TimesNewRomanPS-BoldMT" w:hAnsi="Arial" w:cs="Arial"/>
          <w:bCs/>
          <w:color w:val="000000"/>
          <w:sz w:val="24"/>
          <w:szCs w:val="24"/>
        </w:rPr>
        <w:t>3</w:t>
      </w:r>
    </w:p>
    <w:p w14:paraId="5631CA9C" w14:textId="77777777" w:rsidR="00F730C2" w:rsidRPr="00FE3938" w:rsidRDefault="00F730C2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</w:p>
    <w:p w14:paraId="4F369A90" w14:textId="77777777" w:rsidR="00F730C2" w:rsidRPr="00FE3938" w:rsidRDefault="00F730C2" w:rsidP="00F730C2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Cs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Jiří Čejka</w:t>
      </w:r>
    </w:p>
    <w:p w14:paraId="7CD4629F" w14:textId="0078FBA2" w:rsidR="00F730C2" w:rsidRPr="00F730C2" w:rsidRDefault="00F730C2" w:rsidP="00E90620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color w:val="000000"/>
          <w:sz w:val="24"/>
          <w:szCs w:val="24"/>
        </w:rPr>
      </w:pP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předseda OKRR OSH Praha</w:t>
      </w:r>
      <w:r w:rsidR="00CD465F">
        <w:rPr>
          <w:rFonts w:ascii="Arial" w:eastAsia="TimesNewRomanPS-BoldMT" w:hAnsi="Arial" w:cs="Arial"/>
          <w:bCs/>
          <w:color w:val="000000"/>
          <w:sz w:val="24"/>
          <w:szCs w:val="24"/>
        </w:rPr>
        <w:t>-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z</w:t>
      </w:r>
      <w:r w:rsidR="00FE3938">
        <w:rPr>
          <w:rFonts w:ascii="Arial" w:eastAsia="TimesNewRomanPS-BoldMT" w:hAnsi="Arial" w:cs="Arial"/>
          <w:bCs/>
          <w:color w:val="000000"/>
          <w:sz w:val="24"/>
          <w:szCs w:val="24"/>
        </w:rPr>
        <w:t>á</w:t>
      </w:r>
      <w:r w:rsidRPr="00FE3938">
        <w:rPr>
          <w:rFonts w:ascii="Arial" w:eastAsia="TimesNewRomanPS-BoldMT" w:hAnsi="Arial" w:cs="Arial"/>
          <w:bCs/>
          <w:color w:val="000000"/>
          <w:sz w:val="24"/>
          <w:szCs w:val="24"/>
        </w:rPr>
        <w:t>pad</w:t>
      </w:r>
    </w:p>
    <w:sectPr w:rsidR="00F730C2" w:rsidRPr="00F730C2" w:rsidSect="00F73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F43"/>
    <w:multiLevelType w:val="hybridMultilevel"/>
    <w:tmpl w:val="EE40C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07ED"/>
    <w:multiLevelType w:val="hybridMultilevel"/>
    <w:tmpl w:val="A492F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6E73"/>
    <w:multiLevelType w:val="hybridMultilevel"/>
    <w:tmpl w:val="E7126128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B675992"/>
    <w:multiLevelType w:val="hybridMultilevel"/>
    <w:tmpl w:val="F0A2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80272"/>
    <w:multiLevelType w:val="hybridMultilevel"/>
    <w:tmpl w:val="D74C3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82EDC"/>
    <w:multiLevelType w:val="hybridMultilevel"/>
    <w:tmpl w:val="BB58B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0199C"/>
    <w:multiLevelType w:val="hybridMultilevel"/>
    <w:tmpl w:val="4FA84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54393"/>
    <w:multiLevelType w:val="hybridMultilevel"/>
    <w:tmpl w:val="57E09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B5097"/>
    <w:multiLevelType w:val="hybridMultilevel"/>
    <w:tmpl w:val="0D8C0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E112A"/>
    <w:multiLevelType w:val="hybridMultilevel"/>
    <w:tmpl w:val="6CC43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97028">
    <w:abstractNumId w:val="4"/>
  </w:num>
  <w:num w:numId="2" w16cid:durableId="1296372063">
    <w:abstractNumId w:val="6"/>
  </w:num>
  <w:num w:numId="3" w16cid:durableId="2061325204">
    <w:abstractNumId w:val="8"/>
  </w:num>
  <w:num w:numId="4" w16cid:durableId="4019407">
    <w:abstractNumId w:val="0"/>
  </w:num>
  <w:num w:numId="5" w16cid:durableId="2027242273">
    <w:abstractNumId w:val="7"/>
  </w:num>
  <w:num w:numId="6" w16cid:durableId="1632402321">
    <w:abstractNumId w:val="5"/>
  </w:num>
  <w:num w:numId="7" w16cid:durableId="1211726181">
    <w:abstractNumId w:val="2"/>
  </w:num>
  <w:num w:numId="8" w16cid:durableId="1906794463">
    <w:abstractNumId w:val="3"/>
  </w:num>
  <w:num w:numId="9" w16cid:durableId="275140136">
    <w:abstractNumId w:val="1"/>
  </w:num>
  <w:num w:numId="10" w16cid:durableId="1745837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C2"/>
    <w:rsid w:val="001C6D6D"/>
    <w:rsid w:val="00237CD5"/>
    <w:rsid w:val="002E2BCA"/>
    <w:rsid w:val="002F1C63"/>
    <w:rsid w:val="00332D52"/>
    <w:rsid w:val="00432167"/>
    <w:rsid w:val="00544919"/>
    <w:rsid w:val="00560334"/>
    <w:rsid w:val="005B51C2"/>
    <w:rsid w:val="005D7599"/>
    <w:rsid w:val="005F18F4"/>
    <w:rsid w:val="006632D7"/>
    <w:rsid w:val="00695FE9"/>
    <w:rsid w:val="007F44C1"/>
    <w:rsid w:val="00855052"/>
    <w:rsid w:val="009535E2"/>
    <w:rsid w:val="00986CDE"/>
    <w:rsid w:val="009E1FDB"/>
    <w:rsid w:val="00A37060"/>
    <w:rsid w:val="00C60076"/>
    <w:rsid w:val="00C71824"/>
    <w:rsid w:val="00CB2365"/>
    <w:rsid w:val="00CD465F"/>
    <w:rsid w:val="00E90620"/>
    <w:rsid w:val="00ED07EF"/>
    <w:rsid w:val="00F02106"/>
    <w:rsid w:val="00F52E16"/>
    <w:rsid w:val="00F730C2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F71D"/>
  <w15:docId w15:val="{CF3AE1EB-6C20-4086-BDDE-02FE281C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30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oshpz.cz/Bez%20n%C3%A1zvu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Petra Myslínová Cejpková</cp:lastModifiedBy>
  <cp:revision>2</cp:revision>
  <dcterms:created xsi:type="dcterms:W3CDTF">2023-12-11T22:19:00Z</dcterms:created>
  <dcterms:modified xsi:type="dcterms:W3CDTF">2023-12-11T22:19:00Z</dcterms:modified>
</cp:coreProperties>
</file>